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3FFA" w14:textId="731C186A" w:rsidR="005B1D96" w:rsidRPr="00EA0E45" w:rsidRDefault="009E36C8" w:rsidP="00EA0E45">
      <w:pPr>
        <w:spacing w:after="120"/>
        <w:rPr>
          <w:rFonts w:ascii="Arial" w:hAnsi="Arial" w:cs="Arial"/>
          <w:b/>
          <w:bCs/>
          <w:sz w:val="28"/>
          <w:szCs w:val="28"/>
        </w:rPr>
      </w:pPr>
      <w:r w:rsidRPr="00EA0E45">
        <w:rPr>
          <w:rFonts w:ascii="Arial" w:hAnsi="Arial" w:cs="Arial"/>
          <w:b/>
          <w:bCs/>
          <w:noProof/>
          <w:sz w:val="28"/>
          <w:szCs w:val="28"/>
        </w:rPr>
        <w:drawing>
          <wp:anchor distT="0" distB="0" distL="114300" distR="114300" simplePos="0" relativeHeight="251658240" behindDoc="1" locked="0" layoutInCell="1" allowOverlap="1" wp14:anchorId="1F8EEF33" wp14:editId="218A573C">
            <wp:simplePos x="0" y="0"/>
            <wp:positionH relativeFrom="column">
              <wp:posOffset>-635</wp:posOffset>
            </wp:positionH>
            <wp:positionV relativeFrom="paragraph">
              <wp:posOffset>-635</wp:posOffset>
            </wp:positionV>
            <wp:extent cx="1409700" cy="1150620"/>
            <wp:effectExtent l="0" t="0" r="0" b="5080"/>
            <wp:wrapTight wrapText="bothSides">
              <wp:wrapPolygon edited="0">
                <wp:start x="0" y="0"/>
                <wp:lineTo x="0" y="21457"/>
                <wp:lineTo x="21405" y="21457"/>
                <wp:lineTo x="2140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409700" cy="1150620"/>
                    </a:xfrm>
                    <a:prstGeom prst="rect">
                      <a:avLst/>
                    </a:prstGeom>
                  </pic:spPr>
                </pic:pic>
              </a:graphicData>
            </a:graphic>
            <wp14:sizeRelH relativeFrom="margin">
              <wp14:pctWidth>0</wp14:pctWidth>
            </wp14:sizeRelH>
            <wp14:sizeRelV relativeFrom="margin">
              <wp14:pctHeight>0</wp14:pctHeight>
            </wp14:sizeRelV>
          </wp:anchor>
        </w:drawing>
      </w:r>
      <w:r w:rsidR="005B1D96" w:rsidRPr="00EA0E45">
        <w:rPr>
          <w:rFonts w:ascii="Arial" w:hAnsi="Arial" w:cs="Arial"/>
          <w:b/>
          <w:bCs/>
          <w:noProof/>
          <w:sz w:val="28"/>
          <w:szCs w:val="28"/>
        </w:rPr>
        <w:t xml:space="preserve">Submission by South Africa on Matters relating to Article 6, paragraph 8 of the Paris Agreement </w:t>
      </w:r>
      <w:r w:rsidR="005B1D96" w:rsidRPr="00EA0E45">
        <w:rPr>
          <w:rFonts w:ascii="Arial" w:hAnsi="Arial" w:cs="Arial"/>
          <w:b/>
          <w:bCs/>
          <w:sz w:val="28"/>
          <w:szCs w:val="28"/>
        </w:rPr>
        <w:t>SBSTA</w:t>
      </w:r>
    </w:p>
    <w:p w14:paraId="386CD150" w14:textId="17E196F7" w:rsidR="005B1D96" w:rsidRPr="00EA0E45" w:rsidRDefault="00B90DA5" w:rsidP="00EA0E45">
      <w:pPr>
        <w:spacing w:after="120"/>
        <w:rPr>
          <w:rFonts w:ascii="Arial" w:hAnsi="Arial" w:cs="Arial"/>
          <w:sz w:val="28"/>
          <w:szCs w:val="28"/>
        </w:rPr>
      </w:pPr>
      <w:r w:rsidRPr="00EA0E45">
        <w:rPr>
          <w:rFonts w:ascii="Arial" w:hAnsi="Arial" w:cs="Arial"/>
          <w:b/>
          <w:bCs/>
          <w:sz w:val="28"/>
          <w:szCs w:val="28"/>
        </w:rPr>
        <w:t>Non-Market</w:t>
      </w:r>
      <w:r w:rsidR="005B1D96" w:rsidRPr="00EA0E45">
        <w:rPr>
          <w:rFonts w:ascii="Arial" w:hAnsi="Arial" w:cs="Arial"/>
          <w:b/>
          <w:bCs/>
          <w:sz w:val="28"/>
          <w:szCs w:val="28"/>
        </w:rPr>
        <w:t xml:space="preserve"> Approaches</w:t>
      </w:r>
    </w:p>
    <w:p w14:paraId="0E314769" w14:textId="01742C45" w:rsidR="009E36C8" w:rsidRPr="00EA0E45" w:rsidRDefault="005B1D96" w:rsidP="00EA0E45">
      <w:pPr>
        <w:spacing w:after="120"/>
        <w:rPr>
          <w:rFonts w:ascii="Arial" w:hAnsi="Arial" w:cs="Arial"/>
          <w:b/>
        </w:rPr>
      </w:pPr>
      <w:r w:rsidRPr="00EA0E45">
        <w:rPr>
          <w:rFonts w:ascii="Arial" w:hAnsi="Arial" w:cs="Arial"/>
          <w:b/>
        </w:rPr>
        <w:t>28 February 2022</w:t>
      </w:r>
    </w:p>
    <w:p w14:paraId="0F5974D1" w14:textId="77777777" w:rsidR="0012462E" w:rsidRPr="00EA0E45" w:rsidRDefault="0012462E" w:rsidP="009E36C8">
      <w:pPr>
        <w:rPr>
          <w:rFonts w:ascii="Arial" w:hAnsi="Arial" w:cs="Arial"/>
          <w:b/>
        </w:rPr>
      </w:pPr>
    </w:p>
    <w:p w14:paraId="4197EA4F" w14:textId="77777777" w:rsidR="0012462E" w:rsidRPr="00EA0E45" w:rsidRDefault="0012462E" w:rsidP="009E36C8">
      <w:pPr>
        <w:pBdr>
          <w:top w:val="single" w:sz="4" w:space="1" w:color="auto"/>
        </w:pBdr>
        <w:jc w:val="both"/>
        <w:rPr>
          <w:rFonts w:ascii="Arial" w:hAnsi="Arial" w:cs="Arial"/>
        </w:rPr>
      </w:pPr>
    </w:p>
    <w:p w14:paraId="4041F80D" w14:textId="070C1F26" w:rsidR="005B1D96" w:rsidRPr="00EA0E45" w:rsidRDefault="005B1D96" w:rsidP="00EA0E45">
      <w:pPr>
        <w:spacing w:after="120"/>
        <w:jc w:val="both"/>
        <w:rPr>
          <w:rFonts w:ascii="Arial" w:hAnsi="Arial" w:cs="Arial"/>
        </w:rPr>
      </w:pPr>
      <w:r w:rsidRPr="00EA0E45">
        <w:rPr>
          <w:rFonts w:ascii="Arial" w:hAnsi="Arial" w:cs="Arial"/>
        </w:rPr>
        <w:t xml:space="preserve">South Africa welcomes the opportunity to submit its views and information on </w:t>
      </w:r>
      <w:r w:rsidR="00B90DA5" w:rsidRPr="00EA0E45">
        <w:rPr>
          <w:rFonts w:ascii="Arial" w:hAnsi="Arial" w:cs="Arial"/>
        </w:rPr>
        <w:t>non-market</w:t>
      </w:r>
      <w:r w:rsidRPr="00EA0E45">
        <w:rPr>
          <w:rFonts w:ascii="Arial" w:hAnsi="Arial" w:cs="Arial"/>
        </w:rPr>
        <w:t xml:space="preserve"> approaches as mandated by FCCC/PA/CMA/2021/L.20 Para. 6(a) – (d). Consistent with our previous submission, </w:t>
      </w:r>
      <w:r w:rsidR="0012462E" w:rsidRPr="00EA0E45">
        <w:rPr>
          <w:rFonts w:ascii="Arial" w:hAnsi="Arial" w:cs="Arial"/>
        </w:rPr>
        <w:t>we</w:t>
      </w:r>
      <w:r w:rsidRPr="00EA0E45">
        <w:rPr>
          <w:rFonts w:ascii="Arial" w:hAnsi="Arial" w:cs="Arial"/>
        </w:rPr>
        <w:t xml:space="preserve"> would like to reiterate </w:t>
      </w:r>
      <w:r w:rsidR="0012462E" w:rsidRPr="00EA0E45">
        <w:rPr>
          <w:rFonts w:ascii="Arial" w:hAnsi="Arial" w:cs="Arial"/>
        </w:rPr>
        <w:t xml:space="preserve">our proposed </w:t>
      </w:r>
      <w:r w:rsidRPr="00EA0E45">
        <w:rPr>
          <w:rFonts w:ascii="Arial" w:hAnsi="Arial" w:cs="Arial"/>
        </w:rPr>
        <w:t>definition of Non-Market Approaches as those approaches that involve any effort, action or activity that is not reliant on market-based approaches or mechanisms that lead to the generation of units</w:t>
      </w:r>
      <w:r w:rsidR="0012462E" w:rsidRPr="00EA0E45">
        <w:rPr>
          <w:rFonts w:ascii="Arial" w:hAnsi="Arial" w:cs="Arial"/>
        </w:rPr>
        <w:t xml:space="preserve"> or </w:t>
      </w:r>
      <w:r w:rsidRPr="00EA0E45">
        <w:rPr>
          <w:rFonts w:ascii="Arial" w:hAnsi="Arial" w:cs="Arial"/>
        </w:rPr>
        <w:t xml:space="preserve">credits, and there is no international transfer of units (however defined). However, information; knowledge and learning may be transferred. This submission should be read in </w:t>
      </w:r>
      <w:r w:rsidR="0012462E" w:rsidRPr="00EA0E45">
        <w:rPr>
          <w:rFonts w:ascii="Arial" w:hAnsi="Arial" w:cs="Arial"/>
        </w:rPr>
        <w:t xml:space="preserve">conjunction </w:t>
      </w:r>
      <w:r w:rsidRPr="00EA0E45">
        <w:rPr>
          <w:rFonts w:ascii="Arial" w:hAnsi="Arial" w:cs="Arial"/>
        </w:rPr>
        <w:t>with the previous submissions made by South Africa on non-market approaches</w:t>
      </w:r>
      <w:r w:rsidR="0012462E" w:rsidRPr="00EA0E45">
        <w:rPr>
          <w:rFonts w:ascii="Arial" w:hAnsi="Arial" w:cs="Arial"/>
        </w:rPr>
        <w:t xml:space="preserve">, </w:t>
      </w:r>
      <w:r w:rsidRPr="00EA0E45">
        <w:rPr>
          <w:rFonts w:ascii="Arial" w:hAnsi="Arial" w:cs="Arial"/>
        </w:rPr>
        <w:t xml:space="preserve">including the April 2017 submission. In that submission, </w:t>
      </w:r>
      <w:r w:rsidR="0012462E" w:rsidRPr="00EA0E45">
        <w:rPr>
          <w:rFonts w:ascii="Arial" w:hAnsi="Arial" w:cs="Arial"/>
        </w:rPr>
        <w:t xml:space="preserve">we outlined our views on </w:t>
      </w:r>
      <w:r w:rsidRPr="00EA0E45">
        <w:rPr>
          <w:rFonts w:ascii="Arial" w:hAnsi="Arial" w:cs="Arial"/>
        </w:rPr>
        <w:t xml:space="preserve">the purpose of NMA, the scope thereof as well as some examples of initiatives that could be considered </w:t>
      </w:r>
      <w:r w:rsidR="0012462E" w:rsidRPr="00EA0E45">
        <w:rPr>
          <w:rFonts w:ascii="Arial" w:hAnsi="Arial" w:cs="Arial"/>
        </w:rPr>
        <w:t xml:space="preserve">as </w:t>
      </w:r>
      <w:r w:rsidRPr="00EA0E45">
        <w:rPr>
          <w:rFonts w:ascii="Arial" w:hAnsi="Arial" w:cs="Arial"/>
        </w:rPr>
        <w:t xml:space="preserve">NMA. </w:t>
      </w:r>
      <w:r w:rsidR="0012462E" w:rsidRPr="00EA0E45">
        <w:rPr>
          <w:rFonts w:ascii="Arial" w:hAnsi="Arial" w:cs="Arial"/>
        </w:rPr>
        <w:t xml:space="preserve">This </w:t>
      </w:r>
      <w:r w:rsidRPr="00EA0E45">
        <w:rPr>
          <w:rFonts w:ascii="Arial" w:hAnsi="Arial" w:cs="Arial"/>
        </w:rPr>
        <w:t xml:space="preserve">submission builds on </w:t>
      </w:r>
      <w:r w:rsidR="0012462E" w:rsidRPr="00EA0E45">
        <w:rPr>
          <w:rFonts w:ascii="Arial" w:hAnsi="Arial" w:cs="Arial"/>
        </w:rPr>
        <w:t xml:space="preserve">those </w:t>
      </w:r>
      <w:r w:rsidRPr="00EA0E45">
        <w:rPr>
          <w:rFonts w:ascii="Arial" w:hAnsi="Arial" w:cs="Arial"/>
        </w:rPr>
        <w:t>earlier reflection</w:t>
      </w:r>
      <w:r w:rsidR="0012462E" w:rsidRPr="00EA0E45">
        <w:rPr>
          <w:rFonts w:ascii="Arial" w:hAnsi="Arial" w:cs="Arial"/>
        </w:rPr>
        <w:t>s</w:t>
      </w:r>
      <w:r w:rsidRPr="00EA0E45">
        <w:rPr>
          <w:rFonts w:ascii="Arial" w:hAnsi="Arial" w:cs="Arial"/>
        </w:rPr>
        <w:t>.</w:t>
      </w:r>
    </w:p>
    <w:p w14:paraId="3DD5F08D" w14:textId="2F3E7DAA" w:rsidR="005B1D96" w:rsidRPr="00EA0E45" w:rsidRDefault="005B1D96" w:rsidP="00EA0E45">
      <w:pPr>
        <w:spacing w:after="120"/>
        <w:jc w:val="both"/>
        <w:rPr>
          <w:rFonts w:ascii="Arial" w:hAnsi="Arial" w:cs="Arial"/>
        </w:rPr>
      </w:pPr>
      <w:r w:rsidRPr="00EA0E45">
        <w:rPr>
          <w:rFonts w:ascii="Arial" w:hAnsi="Arial" w:cs="Arial"/>
        </w:rPr>
        <w:t xml:space="preserve">To this effect, South Africa would like to broadly respond </w:t>
      </w:r>
      <w:r w:rsidR="00784CDB" w:rsidRPr="00EA0E45">
        <w:rPr>
          <w:rFonts w:ascii="Arial" w:hAnsi="Arial" w:cs="Arial"/>
        </w:rPr>
        <w:t xml:space="preserve">to the </w:t>
      </w:r>
      <w:r w:rsidR="00B90DA5" w:rsidRPr="00EA0E45">
        <w:rPr>
          <w:rFonts w:ascii="Arial" w:hAnsi="Arial" w:cs="Arial"/>
        </w:rPr>
        <w:t xml:space="preserve">elements as raised in the call for submissions, </w:t>
      </w:r>
      <w:r w:rsidR="00784CDB" w:rsidRPr="00EA0E45">
        <w:rPr>
          <w:rFonts w:ascii="Arial" w:hAnsi="Arial" w:cs="Arial"/>
        </w:rPr>
        <w:t>and the information listed under each is not necessarily exhaustive</w:t>
      </w:r>
      <w:r w:rsidRPr="00EA0E45">
        <w:rPr>
          <w:rFonts w:ascii="Arial" w:hAnsi="Arial" w:cs="Arial"/>
        </w:rPr>
        <w:t>:</w:t>
      </w:r>
    </w:p>
    <w:p w14:paraId="537A254B" w14:textId="77777777" w:rsidR="005B1D96" w:rsidRPr="00EA0E45" w:rsidRDefault="005B1D96" w:rsidP="00EA0E45">
      <w:pPr>
        <w:pStyle w:val="ListParagraph"/>
        <w:numPr>
          <w:ilvl w:val="0"/>
          <w:numId w:val="19"/>
        </w:numPr>
        <w:spacing w:after="120"/>
        <w:jc w:val="both"/>
        <w:rPr>
          <w:rFonts w:ascii="Arial" w:hAnsi="Arial" w:cs="Arial"/>
          <w:b/>
        </w:rPr>
      </w:pPr>
      <w:r w:rsidRPr="00EA0E45">
        <w:rPr>
          <w:rFonts w:ascii="Arial" w:hAnsi="Arial" w:cs="Arial"/>
          <w:b/>
        </w:rPr>
        <w:t>On existing relevant non-market approaches that may be facilitated under the framework in the initial focus areas of the work programme activities:</w:t>
      </w:r>
    </w:p>
    <w:p w14:paraId="0FF58072" w14:textId="621F05FF"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Actions or activities that can be described as policies, strategies, regulations, bilateral and voluntary agreements, and that results in an increase in mitigation and adaptation ambition</w:t>
      </w:r>
      <w:r w:rsidR="00384382" w:rsidRPr="00EA0E45">
        <w:rPr>
          <w:rFonts w:ascii="Arial" w:hAnsi="Arial" w:cs="Arial"/>
          <w:bCs/>
        </w:rPr>
        <w:t>;</w:t>
      </w:r>
    </w:p>
    <w:p w14:paraId="584D52DB" w14:textId="3CDE5994"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Capacity building - education and awareness programmes</w:t>
      </w:r>
      <w:r w:rsidR="00384382" w:rsidRPr="00EA0E45">
        <w:rPr>
          <w:rFonts w:ascii="Arial" w:hAnsi="Arial" w:cs="Arial"/>
          <w:bCs/>
        </w:rPr>
        <w:t>;</w:t>
      </w:r>
    </w:p>
    <w:p w14:paraId="2970734D" w14:textId="03F9AEEE"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Research and development, particularly on technologies that will increase mitigation and adaptation ambition</w:t>
      </w:r>
      <w:r w:rsidR="00384382" w:rsidRPr="00EA0E45">
        <w:rPr>
          <w:rFonts w:ascii="Arial" w:hAnsi="Arial" w:cs="Arial"/>
          <w:bCs/>
        </w:rPr>
        <w:t>;</w:t>
      </w:r>
    </w:p>
    <w:p w14:paraId="5A041F59" w14:textId="72C210D1" w:rsidR="005B1D96" w:rsidRPr="00EA0E45" w:rsidRDefault="00DB3CE9" w:rsidP="00EA0E45">
      <w:pPr>
        <w:pStyle w:val="ListParagraph"/>
        <w:numPr>
          <w:ilvl w:val="1"/>
          <w:numId w:val="19"/>
        </w:numPr>
        <w:spacing w:after="120"/>
        <w:jc w:val="both"/>
        <w:rPr>
          <w:rFonts w:ascii="Arial" w:hAnsi="Arial" w:cs="Arial"/>
          <w:bCs/>
        </w:rPr>
      </w:pPr>
      <w:r w:rsidRPr="00EA0E45">
        <w:rPr>
          <w:rFonts w:ascii="Arial" w:hAnsi="Arial" w:cs="Arial"/>
          <w:bCs/>
        </w:rPr>
        <w:t>I</w:t>
      </w:r>
      <w:r w:rsidR="005B1D96" w:rsidRPr="00EA0E45">
        <w:rPr>
          <w:rFonts w:ascii="Arial" w:hAnsi="Arial" w:cs="Arial"/>
          <w:bCs/>
        </w:rPr>
        <w:t>nstruments that promote the development of, amongst others, renewable energy and energy efficiency technologies that support participating parties to achieve their climate change commitments</w:t>
      </w:r>
      <w:r w:rsidR="00384382" w:rsidRPr="00EA0E45">
        <w:rPr>
          <w:rFonts w:ascii="Arial" w:hAnsi="Arial" w:cs="Arial"/>
          <w:bCs/>
        </w:rPr>
        <w:t>;</w:t>
      </w:r>
    </w:p>
    <w:p w14:paraId="6B337305" w14:textId="57E340B0"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Measures to prevent</w:t>
      </w:r>
      <w:r w:rsidR="0012462E" w:rsidRPr="00EA0E45">
        <w:rPr>
          <w:rFonts w:ascii="Arial" w:hAnsi="Arial" w:cs="Arial"/>
          <w:bCs/>
        </w:rPr>
        <w:t xml:space="preserve"> </w:t>
      </w:r>
      <w:r w:rsidRPr="00EA0E45">
        <w:rPr>
          <w:rFonts w:ascii="Arial" w:hAnsi="Arial" w:cs="Arial"/>
          <w:bCs/>
        </w:rPr>
        <w:t xml:space="preserve">/ </w:t>
      </w:r>
      <w:r w:rsidR="00B90DA5" w:rsidRPr="00EA0E45">
        <w:rPr>
          <w:rFonts w:ascii="Arial" w:hAnsi="Arial" w:cs="Arial"/>
          <w:bCs/>
        </w:rPr>
        <w:t>minimize</w:t>
      </w:r>
      <w:r w:rsidRPr="00EA0E45">
        <w:rPr>
          <w:rFonts w:ascii="Arial" w:hAnsi="Arial" w:cs="Arial"/>
          <w:bCs/>
        </w:rPr>
        <w:t xml:space="preserve"> forest and land degradation.</w:t>
      </w:r>
    </w:p>
    <w:p w14:paraId="2FD070EB" w14:textId="77777777" w:rsidR="005B1D96" w:rsidRPr="00EA0E45" w:rsidRDefault="005B1D96" w:rsidP="00EA0E45">
      <w:pPr>
        <w:pStyle w:val="ListParagraph"/>
        <w:spacing w:after="120"/>
        <w:ind w:left="1440"/>
        <w:jc w:val="both"/>
        <w:rPr>
          <w:rFonts w:ascii="Arial" w:hAnsi="Arial" w:cs="Arial"/>
          <w:bCs/>
        </w:rPr>
      </w:pPr>
    </w:p>
    <w:p w14:paraId="6A88A2A3" w14:textId="77777777" w:rsidR="005B1D96" w:rsidRPr="00EA0E45" w:rsidRDefault="005B1D96" w:rsidP="00EA0E45">
      <w:pPr>
        <w:pStyle w:val="ListParagraph"/>
        <w:numPr>
          <w:ilvl w:val="0"/>
          <w:numId w:val="19"/>
        </w:numPr>
        <w:spacing w:after="120"/>
        <w:jc w:val="both"/>
        <w:rPr>
          <w:rFonts w:ascii="Arial" w:hAnsi="Arial" w:cs="Arial"/>
          <w:b/>
        </w:rPr>
      </w:pPr>
      <w:r w:rsidRPr="00EA0E45">
        <w:rPr>
          <w:rFonts w:ascii="Arial" w:hAnsi="Arial" w:cs="Arial"/>
          <w:b/>
        </w:rPr>
        <w:t>Examples of potential additional focus areas of non-market approaches that may be facilitated under the framework (e.g. social inclusivity, financial policies and measures, circular economy, blue carbon, just transition of the workforce, adaptation benefit mechanism) and existing relevant non-market approaches that may be facilitated under the framework in the potential additional focus areas:</w:t>
      </w:r>
    </w:p>
    <w:p w14:paraId="16D43B0F" w14:textId="25E19866"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 xml:space="preserve">Support for Nationally Appropriate Mitigation Actions (NAMAs) and domestic mitigation measures pursued by developing countries with the aim of achieving the objectives of their nationally determined </w:t>
      </w:r>
      <w:r w:rsidR="00B90DA5" w:rsidRPr="00EA0E45">
        <w:rPr>
          <w:rFonts w:ascii="Arial" w:hAnsi="Arial" w:cs="Arial"/>
          <w:bCs/>
        </w:rPr>
        <w:t>contributions;</w:t>
      </w:r>
      <w:r w:rsidRPr="00EA0E45">
        <w:rPr>
          <w:rFonts w:ascii="Arial" w:hAnsi="Arial" w:cs="Arial"/>
          <w:bCs/>
        </w:rPr>
        <w:t xml:space="preserve"> </w:t>
      </w:r>
    </w:p>
    <w:p w14:paraId="66EA5AE1" w14:textId="03576E12"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Adaptation actions</w:t>
      </w:r>
      <w:r w:rsidR="00384382" w:rsidRPr="00EA0E45">
        <w:rPr>
          <w:rFonts w:ascii="Arial" w:hAnsi="Arial" w:cs="Arial"/>
          <w:bCs/>
        </w:rPr>
        <w:t>;</w:t>
      </w:r>
    </w:p>
    <w:p w14:paraId="47AD5EED" w14:textId="789B8A3B"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lastRenderedPageBreak/>
        <w:t xml:space="preserve">Technology transfer and capacity building </w:t>
      </w:r>
      <w:r w:rsidR="00384382" w:rsidRPr="00EA0E45">
        <w:rPr>
          <w:rFonts w:ascii="Arial" w:hAnsi="Arial" w:cs="Arial"/>
          <w:bCs/>
        </w:rPr>
        <w:t xml:space="preserve">in which </w:t>
      </w:r>
      <w:r w:rsidRPr="00EA0E45">
        <w:rPr>
          <w:rFonts w:ascii="Arial" w:hAnsi="Arial" w:cs="Arial"/>
          <w:bCs/>
        </w:rPr>
        <w:t>wherein Parties express their needs</w:t>
      </w:r>
      <w:r w:rsidR="00384382" w:rsidRPr="00EA0E45">
        <w:rPr>
          <w:rFonts w:ascii="Arial" w:hAnsi="Arial" w:cs="Arial"/>
          <w:bCs/>
        </w:rPr>
        <w:t>;</w:t>
      </w:r>
    </w:p>
    <w:p w14:paraId="611F873B" w14:textId="65567106"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Support requirements appropriate to the concerned Party’s attendant circumstances within the context of sustainable development, equity and poverty eradication</w:t>
      </w:r>
      <w:r w:rsidR="00384382" w:rsidRPr="00EA0E45">
        <w:rPr>
          <w:rFonts w:ascii="Arial" w:hAnsi="Arial" w:cs="Arial"/>
          <w:bCs/>
        </w:rPr>
        <w:t>;</w:t>
      </w:r>
    </w:p>
    <w:p w14:paraId="1193DA2C" w14:textId="77777777"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 xml:space="preserve">International support for Just Transition, including public grant finance. </w:t>
      </w:r>
    </w:p>
    <w:p w14:paraId="7025877F" w14:textId="77777777" w:rsidR="005B1D96" w:rsidRPr="00EA0E45" w:rsidRDefault="005B1D96" w:rsidP="00EA0E45">
      <w:pPr>
        <w:pStyle w:val="ListParagraph"/>
        <w:spacing w:after="120"/>
        <w:jc w:val="both"/>
        <w:rPr>
          <w:rFonts w:ascii="Arial" w:hAnsi="Arial" w:cs="Arial"/>
          <w:b/>
        </w:rPr>
      </w:pPr>
    </w:p>
    <w:p w14:paraId="6ACC1835" w14:textId="77777777" w:rsidR="005B1D96" w:rsidRPr="00EA0E45" w:rsidRDefault="005B1D96" w:rsidP="00EA0E45">
      <w:pPr>
        <w:pStyle w:val="ListParagraph"/>
        <w:numPr>
          <w:ilvl w:val="0"/>
          <w:numId w:val="19"/>
        </w:numPr>
        <w:spacing w:after="120"/>
        <w:jc w:val="both"/>
        <w:rPr>
          <w:rFonts w:ascii="Arial" w:hAnsi="Arial" w:cs="Arial"/>
          <w:b/>
        </w:rPr>
      </w:pPr>
      <w:r w:rsidRPr="00EA0E45">
        <w:rPr>
          <w:rFonts w:ascii="Arial" w:hAnsi="Arial" w:cs="Arial"/>
          <w:b/>
        </w:rPr>
        <w:t>The UNFCCC web-based platform referred to in paragraph 8 (b)(i) of the annex, including how to operationalize it (e.g. functions, form, target users, information to be contained thereon, timeline for development and implementation, and lessons learned from existing relevant tools, including under the Convention, the Kyoto Protocol and the Paris Agreement):</w:t>
      </w:r>
    </w:p>
    <w:p w14:paraId="32C999DF" w14:textId="403AF15C"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learn from the existing platforms – ensure ease of navigation; provide helpful hyperlinks and search functions</w:t>
      </w:r>
      <w:r w:rsidR="00384382" w:rsidRPr="00EA0E45">
        <w:rPr>
          <w:rFonts w:ascii="Arial" w:hAnsi="Arial" w:cs="Arial"/>
          <w:bCs/>
        </w:rPr>
        <w:t>;</w:t>
      </w:r>
    </w:p>
    <w:p w14:paraId="7B20DA26" w14:textId="304A2BC4"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User-friendly, logical front end required</w:t>
      </w:r>
      <w:r w:rsidR="00384382" w:rsidRPr="00EA0E45">
        <w:rPr>
          <w:rFonts w:ascii="Arial" w:hAnsi="Arial" w:cs="Arial"/>
          <w:bCs/>
        </w:rPr>
        <w:t>;</w:t>
      </w:r>
    </w:p>
    <w:p w14:paraId="365DD15A" w14:textId="287DD3C6"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Should enable posting of proposals requesting support for NMA – a matching component with support that enable implementation of the proposals</w:t>
      </w:r>
      <w:r w:rsidR="00384382" w:rsidRPr="00EA0E45">
        <w:rPr>
          <w:rFonts w:ascii="Arial" w:hAnsi="Arial" w:cs="Arial"/>
          <w:bCs/>
        </w:rPr>
        <w:t>;</w:t>
      </w:r>
    </w:p>
    <w:p w14:paraId="483532C0" w14:textId="46245F09"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In terms of form, it should entail all the components articulated under 6.</w:t>
      </w:r>
      <w:r w:rsidR="00384382" w:rsidRPr="00EA0E45">
        <w:rPr>
          <w:rFonts w:ascii="Arial" w:hAnsi="Arial" w:cs="Arial"/>
          <w:bCs/>
        </w:rPr>
        <w:t>8</w:t>
      </w:r>
      <w:r w:rsidR="003F6D49" w:rsidRPr="00EA0E45">
        <w:rPr>
          <w:rFonts w:ascii="Arial" w:hAnsi="Arial" w:cs="Arial"/>
          <w:bCs/>
        </w:rPr>
        <w:t xml:space="preserve"> (a)-(c)</w:t>
      </w:r>
      <w:r w:rsidRPr="00EA0E45">
        <w:rPr>
          <w:rFonts w:ascii="Arial" w:hAnsi="Arial" w:cs="Arial"/>
          <w:bCs/>
        </w:rPr>
        <w:t xml:space="preserve"> of Paris Agreement to enable the synergies </w:t>
      </w:r>
      <w:r w:rsidR="008A7CD1" w:rsidRPr="00EA0E45">
        <w:rPr>
          <w:rFonts w:ascii="Arial" w:hAnsi="Arial" w:cs="Arial"/>
          <w:bCs/>
        </w:rPr>
        <w:t>across and access to Means of Implementation</w:t>
      </w:r>
      <w:r w:rsidRPr="00EA0E45">
        <w:rPr>
          <w:rFonts w:ascii="Arial" w:hAnsi="Arial" w:cs="Arial"/>
          <w:bCs/>
        </w:rPr>
        <w:t>.</w:t>
      </w:r>
    </w:p>
    <w:p w14:paraId="479686B5" w14:textId="77777777" w:rsidR="00F140A2" w:rsidRPr="00EA0E45" w:rsidRDefault="00F140A2" w:rsidP="00EA0E45">
      <w:pPr>
        <w:spacing w:after="120"/>
        <w:jc w:val="both"/>
        <w:rPr>
          <w:rFonts w:ascii="Arial" w:hAnsi="Arial" w:cs="Arial"/>
          <w:bCs/>
        </w:rPr>
      </w:pPr>
    </w:p>
    <w:p w14:paraId="6D1D10EE" w14:textId="77777777" w:rsidR="005B1D96" w:rsidRPr="00EA0E45" w:rsidRDefault="005B1D96" w:rsidP="00EA0E45">
      <w:pPr>
        <w:pStyle w:val="ListParagraph"/>
        <w:numPr>
          <w:ilvl w:val="0"/>
          <w:numId w:val="19"/>
        </w:numPr>
        <w:spacing w:after="120"/>
        <w:jc w:val="both"/>
        <w:rPr>
          <w:rFonts w:ascii="Arial" w:hAnsi="Arial" w:cs="Arial"/>
          <w:b/>
        </w:rPr>
      </w:pPr>
      <w:r w:rsidRPr="00EA0E45">
        <w:rPr>
          <w:rFonts w:ascii="Arial" w:hAnsi="Arial" w:cs="Arial"/>
          <w:b/>
        </w:rPr>
        <w:t>The schedule for implementing the work programme activities:</w:t>
      </w:r>
    </w:p>
    <w:p w14:paraId="0F1F67DC" w14:textId="35F27348"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 xml:space="preserve">Initial exchanges on approaches that have worked, and those that haven’t. Lessons learned by different Parties, and </w:t>
      </w:r>
      <w:r w:rsidR="00B90DA5" w:rsidRPr="00EA0E45">
        <w:rPr>
          <w:rFonts w:ascii="Arial" w:hAnsi="Arial" w:cs="Arial"/>
          <w:bCs/>
        </w:rPr>
        <w:t>organizations</w:t>
      </w:r>
      <w:r w:rsidRPr="00EA0E45">
        <w:rPr>
          <w:rFonts w:ascii="Arial" w:hAnsi="Arial" w:cs="Arial"/>
          <w:bCs/>
        </w:rPr>
        <w:t xml:space="preserve"> </w:t>
      </w:r>
    </w:p>
    <w:p w14:paraId="42E01DE4" w14:textId="77777777"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 xml:space="preserve">Work on definitions for a common understanding </w:t>
      </w:r>
    </w:p>
    <w:p w14:paraId="2AE78BCC" w14:textId="1A7B3E9E" w:rsidR="005B1D96" w:rsidRPr="00EA0E45" w:rsidRDefault="005B1D96" w:rsidP="00EA0E45">
      <w:pPr>
        <w:pStyle w:val="ListParagraph"/>
        <w:numPr>
          <w:ilvl w:val="1"/>
          <w:numId w:val="19"/>
        </w:numPr>
        <w:spacing w:after="120"/>
        <w:jc w:val="both"/>
        <w:rPr>
          <w:rFonts w:ascii="Arial" w:hAnsi="Arial" w:cs="Arial"/>
          <w:bCs/>
        </w:rPr>
      </w:pPr>
      <w:r w:rsidRPr="00EA0E45">
        <w:rPr>
          <w:rFonts w:ascii="Arial" w:hAnsi="Arial" w:cs="Arial"/>
          <w:bCs/>
        </w:rPr>
        <w:t xml:space="preserve">Work on the modalities of the platform, and timeframe for </w:t>
      </w:r>
      <w:r w:rsidR="00B90DA5" w:rsidRPr="00EA0E45">
        <w:rPr>
          <w:rFonts w:ascii="Arial" w:hAnsi="Arial" w:cs="Arial"/>
          <w:bCs/>
        </w:rPr>
        <w:t>finalization</w:t>
      </w:r>
    </w:p>
    <w:p w14:paraId="4A965804" w14:textId="77777777" w:rsidR="00EA0E45" w:rsidRDefault="00EA0E45" w:rsidP="00EA0E45">
      <w:pPr>
        <w:pStyle w:val="ListParagraph"/>
        <w:spacing w:after="120"/>
        <w:jc w:val="both"/>
        <w:rPr>
          <w:rFonts w:ascii="Arial" w:hAnsi="Arial" w:cs="Arial"/>
        </w:rPr>
      </w:pPr>
    </w:p>
    <w:p w14:paraId="0FEACE08" w14:textId="69430150" w:rsidR="005B1D96" w:rsidRPr="00EA0E45" w:rsidRDefault="005B1D96" w:rsidP="00EA0E45">
      <w:pPr>
        <w:pStyle w:val="ListParagraph"/>
        <w:spacing w:after="120"/>
        <w:jc w:val="both"/>
        <w:rPr>
          <w:rFonts w:ascii="Arial" w:hAnsi="Arial" w:cs="Arial"/>
        </w:rPr>
      </w:pPr>
      <w:r w:rsidRPr="00EA0E45">
        <w:rPr>
          <w:rFonts w:ascii="Arial" w:hAnsi="Arial" w:cs="Arial"/>
        </w:rPr>
        <w:t xml:space="preserve">South Africa would like to reiterate that the linkages </w:t>
      </w:r>
      <w:r w:rsidR="0012462E" w:rsidRPr="00EA0E45">
        <w:rPr>
          <w:rFonts w:ascii="Arial" w:hAnsi="Arial" w:cs="Arial"/>
        </w:rPr>
        <w:t xml:space="preserve">to </w:t>
      </w:r>
      <w:r w:rsidRPr="00EA0E45">
        <w:rPr>
          <w:rFonts w:ascii="Arial" w:hAnsi="Arial" w:cs="Arial"/>
        </w:rPr>
        <w:t xml:space="preserve">the provision of finance, technology transfer, transparency and capacity building are central and critical to the implementation of the Framework. </w:t>
      </w:r>
    </w:p>
    <w:p w14:paraId="3CDE6029" w14:textId="77777777" w:rsidR="00707348" w:rsidRPr="00EA0E45" w:rsidRDefault="00707348" w:rsidP="00EA0E45">
      <w:pPr>
        <w:pStyle w:val="ListParagraph"/>
        <w:spacing w:after="120"/>
        <w:jc w:val="both"/>
        <w:rPr>
          <w:rFonts w:ascii="Arial" w:hAnsi="Arial" w:cs="Arial"/>
        </w:rPr>
      </w:pPr>
    </w:p>
    <w:p w14:paraId="3DEEAFDF" w14:textId="188B60F2" w:rsidR="005B1D96" w:rsidRPr="00EA0E45" w:rsidRDefault="00707348" w:rsidP="00EA0E45">
      <w:pPr>
        <w:pStyle w:val="ListParagraph"/>
        <w:spacing w:after="120"/>
        <w:jc w:val="both"/>
        <w:rPr>
          <w:rFonts w:ascii="Arial" w:hAnsi="Arial" w:cs="Arial"/>
        </w:rPr>
      </w:pPr>
      <w:r w:rsidRPr="00EA0E45">
        <w:rPr>
          <w:rFonts w:ascii="Arial" w:hAnsi="Arial" w:cs="Arial"/>
        </w:rPr>
        <w:t>In conclusion, t</w:t>
      </w:r>
      <w:r w:rsidR="005B1D96" w:rsidRPr="00EA0E45">
        <w:rPr>
          <w:rFonts w:ascii="Arial" w:hAnsi="Arial" w:cs="Arial"/>
        </w:rPr>
        <w:t>his presents South Africa’s initial thoughts on Article 6.8 of the Paris Agreement. These views may be elaborated, refined or changed depending on the discussions going forward on this Article.</w:t>
      </w:r>
    </w:p>
    <w:p w14:paraId="4E7E9147" w14:textId="77777777" w:rsidR="005B1D96" w:rsidRPr="00EA0E45" w:rsidRDefault="005B1D96" w:rsidP="00EA0E45">
      <w:pPr>
        <w:spacing w:after="120"/>
        <w:jc w:val="both"/>
        <w:rPr>
          <w:rFonts w:ascii="Arial" w:hAnsi="Arial" w:cs="Arial"/>
        </w:rPr>
      </w:pPr>
    </w:p>
    <w:sectPr w:rsidR="005B1D96" w:rsidRPr="00EA0E45" w:rsidSect="00F3321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9B92" w14:textId="77777777" w:rsidR="00AE2C4F" w:rsidRDefault="00AE2C4F" w:rsidP="00A01C90">
      <w:r>
        <w:separator/>
      </w:r>
    </w:p>
  </w:endnote>
  <w:endnote w:type="continuationSeparator" w:id="0">
    <w:p w14:paraId="1162FCF8" w14:textId="77777777" w:rsidR="00AE2C4F" w:rsidRDefault="00AE2C4F" w:rsidP="00A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18F6" w14:textId="77777777" w:rsidR="001D2246" w:rsidRDefault="001D2246" w:rsidP="00A01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E6A1C" w14:textId="77777777" w:rsidR="001D2246" w:rsidRDefault="001D2246" w:rsidP="00A01C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DE13" w14:textId="5BD6D228" w:rsidR="001D2246" w:rsidRDefault="001D2246" w:rsidP="00A01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AE0">
      <w:rPr>
        <w:rStyle w:val="PageNumber"/>
        <w:noProof/>
      </w:rPr>
      <w:t>1</w:t>
    </w:r>
    <w:r>
      <w:rPr>
        <w:rStyle w:val="PageNumber"/>
      </w:rPr>
      <w:fldChar w:fldCharType="end"/>
    </w:r>
  </w:p>
  <w:p w14:paraId="7C364196" w14:textId="77777777" w:rsidR="001D2246" w:rsidRDefault="001D2246" w:rsidP="00A01C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A370" w14:textId="77777777" w:rsidR="00AE2C4F" w:rsidRDefault="00AE2C4F" w:rsidP="00A01C90">
      <w:r>
        <w:separator/>
      </w:r>
    </w:p>
  </w:footnote>
  <w:footnote w:type="continuationSeparator" w:id="0">
    <w:p w14:paraId="4247C273" w14:textId="77777777" w:rsidR="00AE2C4F" w:rsidRDefault="00AE2C4F" w:rsidP="00A0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A7"/>
    <w:multiLevelType w:val="hybridMultilevel"/>
    <w:tmpl w:val="D11845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995A1E"/>
    <w:multiLevelType w:val="hybridMultilevel"/>
    <w:tmpl w:val="165ADD0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284C6A"/>
    <w:multiLevelType w:val="hybridMultilevel"/>
    <w:tmpl w:val="8270A0E4"/>
    <w:lvl w:ilvl="0" w:tplc="DBD4F6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841576C"/>
    <w:multiLevelType w:val="hybridMultilevel"/>
    <w:tmpl w:val="531E2F0E"/>
    <w:lvl w:ilvl="0" w:tplc="F46ECA2A">
      <w:start w:val="1"/>
      <w:numFmt w:val="decimal"/>
      <w:lvlText w:val="%1."/>
      <w:lvlJc w:val="left"/>
      <w:pPr>
        <w:ind w:left="1200" w:hanging="440"/>
      </w:pPr>
      <w:rPr>
        <w:rFonts w:hint="default"/>
      </w:rPr>
    </w:lvl>
    <w:lvl w:ilvl="1" w:tplc="040C0019" w:tentative="1">
      <w:start w:val="1"/>
      <w:numFmt w:val="lowerLetter"/>
      <w:lvlText w:val="%2."/>
      <w:lvlJc w:val="left"/>
      <w:pPr>
        <w:ind w:left="1840" w:hanging="360"/>
      </w:pPr>
    </w:lvl>
    <w:lvl w:ilvl="2" w:tplc="040C001B" w:tentative="1">
      <w:start w:val="1"/>
      <w:numFmt w:val="lowerRoman"/>
      <w:lvlText w:val="%3."/>
      <w:lvlJc w:val="right"/>
      <w:pPr>
        <w:ind w:left="2560" w:hanging="180"/>
      </w:pPr>
    </w:lvl>
    <w:lvl w:ilvl="3" w:tplc="040C000F" w:tentative="1">
      <w:start w:val="1"/>
      <w:numFmt w:val="decimal"/>
      <w:lvlText w:val="%4."/>
      <w:lvlJc w:val="left"/>
      <w:pPr>
        <w:ind w:left="3280" w:hanging="360"/>
      </w:pPr>
    </w:lvl>
    <w:lvl w:ilvl="4" w:tplc="040C0019" w:tentative="1">
      <w:start w:val="1"/>
      <w:numFmt w:val="lowerLetter"/>
      <w:lvlText w:val="%5."/>
      <w:lvlJc w:val="left"/>
      <w:pPr>
        <w:ind w:left="4000" w:hanging="360"/>
      </w:pPr>
    </w:lvl>
    <w:lvl w:ilvl="5" w:tplc="040C001B" w:tentative="1">
      <w:start w:val="1"/>
      <w:numFmt w:val="lowerRoman"/>
      <w:lvlText w:val="%6."/>
      <w:lvlJc w:val="right"/>
      <w:pPr>
        <w:ind w:left="4720" w:hanging="180"/>
      </w:pPr>
    </w:lvl>
    <w:lvl w:ilvl="6" w:tplc="040C000F" w:tentative="1">
      <w:start w:val="1"/>
      <w:numFmt w:val="decimal"/>
      <w:lvlText w:val="%7."/>
      <w:lvlJc w:val="left"/>
      <w:pPr>
        <w:ind w:left="5440" w:hanging="360"/>
      </w:pPr>
    </w:lvl>
    <w:lvl w:ilvl="7" w:tplc="040C0019" w:tentative="1">
      <w:start w:val="1"/>
      <w:numFmt w:val="lowerLetter"/>
      <w:lvlText w:val="%8."/>
      <w:lvlJc w:val="left"/>
      <w:pPr>
        <w:ind w:left="6160" w:hanging="360"/>
      </w:pPr>
    </w:lvl>
    <w:lvl w:ilvl="8" w:tplc="040C001B" w:tentative="1">
      <w:start w:val="1"/>
      <w:numFmt w:val="lowerRoman"/>
      <w:lvlText w:val="%9."/>
      <w:lvlJc w:val="right"/>
      <w:pPr>
        <w:ind w:left="6880" w:hanging="180"/>
      </w:pPr>
    </w:lvl>
  </w:abstractNum>
  <w:abstractNum w:abstractNumId="4" w15:restartNumberingAfterBreak="0">
    <w:nsid w:val="1A2E1E95"/>
    <w:multiLevelType w:val="hybridMultilevel"/>
    <w:tmpl w:val="B984A4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46169A"/>
    <w:multiLevelType w:val="hybridMultilevel"/>
    <w:tmpl w:val="4FA254E8"/>
    <w:lvl w:ilvl="0" w:tplc="1C09001B">
      <w:start w:val="1"/>
      <w:numFmt w:val="lowerRoman"/>
      <w:lvlText w:val="%1."/>
      <w:lvlJc w:val="right"/>
      <w:pPr>
        <w:ind w:left="1776" w:hanging="360"/>
      </w:pPr>
      <w:rPr>
        <w:rFonts w:hint="default"/>
      </w:rPr>
    </w:lvl>
    <w:lvl w:ilvl="1" w:tplc="1C090019" w:tentative="1">
      <w:start w:val="1"/>
      <w:numFmt w:val="lowerLetter"/>
      <w:lvlText w:val="%2."/>
      <w:lvlJc w:val="left"/>
      <w:pPr>
        <w:ind w:left="2496" w:hanging="360"/>
      </w:pPr>
    </w:lvl>
    <w:lvl w:ilvl="2" w:tplc="1C09001B" w:tentative="1">
      <w:start w:val="1"/>
      <w:numFmt w:val="lowerRoman"/>
      <w:lvlText w:val="%3."/>
      <w:lvlJc w:val="right"/>
      <w:pPr>
        <w:ind w:left="3216" w:hanging="180"/>
      </w:pPr>
    </w:lvl>
    <w:lvl w:ilvl="3" w:tplc="1C09000F" w:tentative="1">
      <w:start w:val="1"/>
      <w:numFmt w:val="decimal"/>
      <w:lvlText w:val="%4."/>
      <w:lvlJc w:val="left"/>
      <w:pPr>
        <w:ind w:left="3936" w:hanging="360"/>
      </w:pPr>
    </w:lvl>
    <w:lvl w:ilvl="4" w:tplc="1C090019" w:tentative="1">
      <w:start w:val="1"/>
      <w:numFmt w:val="lowerLetter"/>
      <w:lvlText w:val="%5."/>
      <w:lvlJc w:val="left"/>
      <w:pPr>
        <w:ind w:left="4656" w:hanging="360"/>
      </w:pPr>
    </w:lvl>
    <w:lvl w:ilvl="5" w:tplc="1C09001B" w:tentative="1">
      <w:start w:val="1"/>
      <w:numFmt w:val="lowerRoman"/>
      <w:lvlText w:val="%6."/>
      <w:lvlJc w:val="right"/>
      <w:pPr>
        <w:ind w:left="5376" w:hanging="180"/>
      </w:pPr>
    </w:lvl>
    <w:lvl w:ilvl="6" w:tplc="1C09000F" w:tentative="1">
      <w:start w:val="1"/>
      <w:numFmt w:val="decimal"/>
      <w:lvlText w:val="%7."/>
      <w:lvlJc w:val="left"/>
      <w:pPr>
        <w:ind w:left="6096" w:hanging="360"/>
      </w:pPr>
    </w:lvl>
    <w:lvl w:ilvl="7" w:tplc="1C090019" w:tentative="1">
      <w:start w:val="1"/>
      <w:numFmt w:val="lowerLetter"/>
      <w:lvlText w:val="%8."/>
      <w:lvlJc w:val="left"/>
      <w:pPr>
        <w:ind w:left="6816" w:hanging="360"/>
      </w:pPr>
    </w:lvl>
    <w:lvl w:ilvl="8" w:tplc="1C09001B" w:tentative="1">
      <w:start w:val="1"/>
      <w:numFmt w:val="lowerRoman"/>
      <w:lvlText w:val="%9."/>
      <w:lvlJc w:val="right"/>
      <w:pPr>
        <w:ind w:left="7536" w:hanging="180"/>
      </w:pPr>
    </w:lvl>
  </w:abstractNum>
  <w:abstractNum w:abstractNumId="6" w15:restartNumberingAfterBreak="0">
    <w:nsid w:val="310C59BF"/>
    <w:multiLevelType w:val="hybridMultilevel"/>
    <w:tmpl w:val="928EB5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F01DDE"/>
    <w:multiLevelType w:val="hybridMultilevel"/>
    <w:tmpl w:val="7EECAB44"/>
    <w:lvl w:ilvl="0" w:tplc="2A263C44">
      <w:start w:val="1"/>
      <w:numFmt w:val="decimal"/>
      <w:lvlText w:val="%1."/>
      <w:lvlJc w:val="left"/>
      <w:pPr>
        <w:ind w:left="720" w:hanging="360"/>
      </w:pPr>
      <w:rPr>
        <w:rFonts w:asciiTheme="minorHAnsi" w:hAnsiTheme="minorHAns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A209EA"/>
    <w:multiLevelType w:val="hybridMultilevel"/>
    <w:tmpl w:val="4170E254"/>
    <w:lvl w:ilvl="0" w:tplc="9C5612F2">
      <w:start w:val="1"/>
      <w:numFmt w:val="decimal"/>
      <w:lvlText w:val="%1."/>
      <w:lvlJc w:val="left"/>
      <w:pPr>
        <w:ind w:left="860" w:hanging="50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670346"/>
    <w:multiLevelType w:val="hybridMultilevel"/>
    <w:tmpl w:val="959C060E"/>
    <w:lvl w:ilvl="0" w:tplc="68E4753A">
      <w:start w:val="1"/>
      <w:numFmt w:val="lowerLetter"/>
      <w:lvlText w:val="%1)"/>
      <w:lvlJc w:val="left"/>
      <w:pPr>
        <w:ind w:left="1240" w:hanging="380"/>
      </w:pPr>
      <w:rPr>
        <w:rFonts w:hint="default"/>
      </w:rPr>
    </w:lvl>
    <w:lvl w:ilvl="1" w:tplc="040C0019" w:tentative="1">
      <w:start w:val="1"/>
      <w:numFmt w:val="lowerLetter"/>
      <w:lvlText w:val="%2."/>
      <w:lvlJc w:val="left"/>
      <w:pPr>
        <w:ind w:left="1940" w:hanging="360"/>
      </w:pPr>
    </w:lvl>
    <w:lvl w:ilvl="2" w:tplc="040C001B" w:tentative="1">
      <w:start w:val="1"/>
      <w:numFmt w:val="lowerRoman"/>
      <w:lvlText w:val="%3."/>
      <w:lvlJc w:val="right"/>
      <w:pPr>
        <w:ind w:left="2660" w:hanging="180"/>
      </w:pPr>
    </w:lvl>
    <w:lvl w:ilvl="3" w:tplc="040C000F" w:tentative="1">
      <w:start w:val="1"/>
      <w:numFmt w:val="decimal"/>
      <w:lvlText w:val="%4."/>
      <w:lvlJc w:val="left"/>
      <w:pPr>
        <w:ind w:left="3380" w:hanging="360"/>
      </w:pPr>
    </w:lvl>
    <w:lvl w:ilvl="4" w:tplc="040C0019" w:tentative="1">
      <w:start w:val="1"/>
      <w:numFmt w:val="lowerLetter"/>
      <w:lvlText w:val="%5."/>
      <w:lvlJc w:val="left"/>
      <w:pPr>
        <w:ind w:left="4100" w:hanging="360"/>
      </w:pPr>
    </w:lvl>
    <w:lvl w:ilvl="5" w:tplc="040C001B" w:tentative="1">
      <w:start w:val="1"/>
      <w:numFmt w:val="lowerRoman"/>
      <w:lvlText w:val="%6."/>
      <w:lvlJc w:val="right"/>
      <w:pPr>
        <w:ind w:left="4820" w:hanging="180"/>
      </w:pPr>
    </w:lvl>
    <w:lvl w:ilvl="6" w:tplc="040C000F" w:tentative="1">
      <w:start w:val="1"/>
      <w:numFmt w:val="decimal"/>
      <w:lvlText w:val="%7."/>
      <w:lvlJc w:val="left"/>
      <w:pPr>
        <w:ind w:left="5540" w:hanging="360"/>
      </w:pPr>
    </w:lvl>
    <w:lvl w:ilvl="7" w:tplc="040C0019" w:tentative="1">
      <w:start w:val="1"/>
      <w:numFmt w:val="lowerLetter"/>
      <w:lvlText w:val="%8."/>
      <w:lvlJc w:val="left"/>
      <w:pPr>
        <w:ind w:left="6260" w:hanging="360"/>
      </w:pPr>
    </w:lvl>
    <w:lvl w:ilvl="8" w:tplc="040C001B" w:tentative="1">
      <w:start w:val="1"/>
      <w:numFmt w:val="lowerRoman"/>
      <w:lvlText w:val="%9."/>
      <w:lvlJc w:val="right"/>
      <w:pPr>
        <w:ind w:left="6980" w:hanging="180"/>
      </w:pPr>
    </w:lvl>
  </w:abstractNum>
  <w:abstractNum w:abstractNumId="10" w15:restartNumberingAfterBreak="0">
    <w:nsid w:val="519F186F"/>
    <w:multiLevelType w:val="hybridMultilevel"/>
    <w:tmpl w:val="4B4E84B8"/>
    <w:lvl w:ilvl="0" w:tplc="EB3886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48358F"/>
    <w:multiLevelType w:val="hybridMultilevel"/>
    <w:tmpl w:val="C478DCF4"/>
    <w:lvl w:ilvl="0" w:tplc="7586286A">
      <w:start w:val="1"/>
      <w:numFmt w:val="decimal"/>
      <w:lvlText w:val="%1."/>
      <w:lvlJc w:val="left"/>
      <w:pPr>
        <w:ind w:left="1200" w:hanging="50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2" w15:restartNumberingAfterBreak="0">
    <w:nsid w:val="53583050"/>
    <w:multiLevelType w:val="hybridMultilevel"/>
    <w:tmpl w:val="7834D18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50090A"/>
    <w:multiLevelType w:val="hybridMultilevel"/>
    <w:tmpl w:val="D11845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56E6859"/>
    <w:multiLevelType w:val="hybridMultilevel"/>
    <w:tmpl w:val="B984A4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381E9D"/>
    <w:multiLevelType w:val="hybridMultilevel"/>
    <w:tmpl w:val="D2267E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AD6F3E"/>
    <w:multiLevelType w:val="hybridMultilevel"/>
    <w:tmpl w:val="D196F47E"/>
    <w:lvl w:ilvl="0" w:tplc="6D0279CA">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7" w15:restartNumberingAfterBreak="0">
    <w:nsid w:val="7B897798"/>
    <w:multiLevelType w:val="hybridMultilevel"/>
    <w:tmpl w:val="ABB85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F2637A7"/>
    <w:multiLevelType w:val="hybridMultilevel"/>
    <w:tmpl w:val="05EEC656"/>
    <w:lvl w:ilvl="0" w:tplc="F1BA33DC">
      <w:start w:val="1"/>
      <w:numFmt w:val="decimal"/>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12"/>
  </w:num>
  <w:num w:numId="5">
    <w:abstractNumId w:val="6"/>
  </w:num>
  <w:num w:numId="6">
    <w:abstractNumId w:val="8"/>
  </w:num>
  <w:num w:numId="7">
    <w:abstractNumId w:val="9"/>
  </w:num>
  <w:num w:numId="8">
    <w:abstractNumId w:val="11"/>
  </w:num>
  <w:num w:numId="9">
    <w:abstractNumId w:val="16"/>
  </w:num>
  <w:num w:numId="10">
    <w:abstractNumId w:val="14"/>
  </w:num>
  <w:num w:numId="11">
    <w:abstractNumId w:val="4"/>
  </w:num>
  <w:num w:numId="12">
    <w:abstractNumId w:val="1"/>
  </w:num>
  <w:num w:numId="13">
    <w:abstractNumId w:val="13"/>
  </w:num>
  <w:num w:numId="14">
    <w:abstractNumId w:val="0"/>
  </w:num>
  <w:num w:numId="15">
    <w:abstractNumId w:val="5"/>
  </w:num>
  <w:num w:numId="16">
    <w:abstractNumId w:val="17"/>
  </w:num>
  <w:num w:numId="17">
    <w:abstractNumId w:val="1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8F"/>
    <w:rsid w:val="0000298F"/>
    <w:rsid w:val="00023263"/>
    <w:rsid w:val="000313E6"/>
    <w:rsid w:val="00050124"/>
    <w:rsid w:val="0005202B"/>
    <w:rsid w:val="000529E9"/>
    <w:rsid w:val="0008107A"/>
    <w:rsid w:val="000A600C"/>
    <w:rsid w:val="000D06AE"/>
    <w:rsid w:val="000D6489"/>
    <w:rsid w:val="000D64CB"/>
    <w:rsid w:val="000F69E5"/>
    <w:rsid w:val="00124552"/>
    <w:rsid w:val="0012462E"/>
    <w:rsid w:val="00136069"/>
    <w:rsid w:val="001508A4"/>
    <w:rsid w:val="00177C04"/>
    <w:rsid w:val="001831CC"/>
    <w:rsid w:val="00183CD7"/>
    <w:rsid w:val="001A0255"/>
    <w:rsid w:val="001A7CC2"/>
    <w:rsid w:val="001B1795"/>
    <w:rsid w:val="001C6949"/>
    <w:rsid w:val="001D2246"/>
    <w:rsid w:val="001E79AA"/>
    <w:rsid w:val="001F0C25"/>
    <w:rsid w:val="001F7503"/>
    <w:rsid w:val="00232C26"/>
    <w:rsid w:val="00251BD8"/>
    <w:rsid w:val="00252D9E"/>
    <w:rsid w:val="0025661B"/>
    <w:rsid w:val="00261ECE"/>
    <w:rsid w:val="0026695D"/>
    <w:rsid w:val="0027695D"/>
    <w:rsid w:val="002830A5"/>
    <w:rsid w:val="002D0F1C"/>
    <w:rsid w:val="003019DF"/>
    <w:rsid w:val="00306DEF"/>
    <w:rsid w:val="00311C49"/>
    <w:rsid w:val="00342C66"/>
    <w:rsid w:val="0035798F"/>
    <w:rsid w:val="00357B11"/>
    <w:rsid w:val="00362019"/>
    <w:rsid w:val="00367936"/>
    <w:rsid w:val="00372B17"/>
    <w:rsid w:val="00384382"/>
    <w:rsid w:val="003C16FD"/>
    <w:rsid w:val="003E4FE7"/>
    <w:rsid w:val="003E5E35"/>
    <w:rsid w:val="003F4412"/>
    <w:rsid w:val="003F6D49"/>
    <w:rsid w:val="00427645"/>
    <w:rsid w:val="00464FBF"/>
    <w:rsid w:val="004664DB"/>
    <w:rsid w:val="00481F86"/>
    <w:rsid w:val="00484365"/>
    <w:rsid w:val="004A1452"/>
    <w:rsid w:val="004A49B5"/>
    <w:rsid w:val="004A638B"/>
    <w:rsid w:val="004D3C41"/>
    <w:rsid w:val="004D740E"/>
    <w:rsid w:val="004E251B"/>
    <w:rsid w:val="005146A4"/>
    <w:rsid w:val="00521C96"/>
    <w:rsid w:val="0053771F"/>
    <w:rsid w:val="005439E1"/>
    <w:rsid w:val="0054705F"/>
    <w:rsid w:val="00572A0D"/>
    <w:rsid w:val="005A7C4A"/>
    <w:rsid w:val="005B1D96"/>
    <w:rsid w:val="005B2779"/>
    <w:rsid w:val="005C3AC9"/>
    <w:rsid w:val="005D456C"/>
    <w:rsid w:val="00602085"/>
    <w:rsid w:val="00604D2F"/>
    <w:rsid w:val="00624CCE"/>
    <w:rsid w:val="00632FD9"/>
    <w:rsid w:val="00652E2C"/>
    <w:rsid w:val="00655FE3"/>
    <w:rsid w:val="0067352F"/>
    <w:rsid w:val="00682ACB"/>
    <w:rsid w:val="00691350"/>
    <w:rsid w:val="006B57B5"/>
    <w:rsid w:val="006C1534"/>
    <w:rsid w:val="006D7228"/>
    <w:rsid w:val="006E46A3"/>
    <w:rsid w:val="006F2888"/>
    <w:rsid w:val="00700E1B"/>
    <w:rsid w:val="00707348"/>
    <w:rsid w:val="00710300"/>
    <w:rsid w:val="00722F58"/>
    <w:rsid w:val="0072651F"/>
    <w:rsid w:val="00730CE5"/>
    <w:rsid w:val="007338E7"/>
    <w:rsid w:val="00744A62"/>
    <w:rsid w:val="00747E5B"/>
    <w:rsid w:val="00751A98"/>
    <w:rsid w:val="007619EE"/>
    <w:rsid w:val="00772706"/>
    <w:rsid w:val="00773C94"/>
    <w:rsid w:val="007740E2"/>
    <w:rsid w:val="00784CDB"/>
    <w:rsid w:val="007A0331"/>
    <w:rsid w:val="007B06EF"/>
    <w:rsid w:val="007C1BCD"/>
    <w:rsid w:val="007C2326"/>
    <w:rsid w:val="007D75DE"/>
    <w:rsid w:val="00803AE0"/>
    <w:rsid w:val="008042C4"/>
    <w:rsid w:val="00825F80"/>
    <w:rsid w:val="008261F8"/>
    <w:rsid w:val="00834F6F"/>
    <w:rsid w:val="00860FF2"/>
    <w:rsid w:val="00876ACF"/>
    <w:rsid w:val="008779F1"/>
    <w:rsid w:val="00893371"/>
    <w:rsid w:val="008A6544"/>
    <w:rsid w:val="008A6B13"/>
    <w:rsid w:val="008A7CD1"/>
    <w:rsid w:val="008B6E6F"/>
    <w:rsid w:val="008D1783"/>
    <w:rsid w:val="008D18DB"/>
    <w:rsid w:val="008E5B07"/>
    <w:rsid w:val="008E7FFA"/>
    <w:rsid w:val="008F34B4"/>
    <w:rsid w:val="008F58A4"/>
    <w:rsid w:val="009337B1"/>
    <w:rsid w:val="00936FB9"/>
    <w:rsid w:val="009553B2"/>
    <w:rsid w:val="009868AE"/>
    <w:rsid w:val="00991393"/>
    <w:rsid w:val="009C01CF"/>
    <w:rsid w:val="009C4591"/>
    <w:rsid w:val="009D1E47"/>
    <w:rsid w:val="009D707E"/>
    <w:rsid w:val="009E36C8"/>
    <w:rsid w:val="009E4107"/>
    <w:rsid w:val="009E6870"/>
    <w:rsid w:val="00A01C90"/>
    <w:rsid w:val="00A1675A"/>
    <w:rsid w:val="00A3008C"/>
    <w:rsid w:val="00A56572"/>
    <w:rsid w:val="00AA5F29"/>
    <w:rsid w:val="00AC2263"/>
    <w:rsid w:val="00AC6410"/>
    <w:rsid w:val="00AE1DB2"/>
    <w:rsid w:val="00AE2C4F"/>
    <w:rsid w:val="00AF190B"/>
    <w:rsid w:val="00B00381"/>
    <w:rsid w:val="00B0047D"/>
    <w:rsid w:val="00B22387"/>
    <w:rsid w:val="00B30454"/>
    <w:rsid w:val="00B451C4"/>
    <w:rsid w:val="00B75D91"/>
    <w:rsid w:val="00B90C53"/>
    <w:rsid w:val="00B90DA5"/>
    <w:rsid w:val="00BA62D7"/>
    <w:rsid w:val="00BA6338"/>
    <w:rsid w:val="00BC11C2"/>
    <w:rsid w:val="00BD4E17"/>
    <w:rsid w:val="00BE4D3F"/>
    <w:rsid w:val="00C01356"/>
    <w:rsid w:val="00C20B93"/>
    <w:rsid w:val="00C40F45"/>
    <w:rsid w:val="00C46E05"/>
    <w:rsid w:val="00C522FA"/>
    <w:rsid w:val="00C55FA4"/>
    <w:rsid w:val="00C61E22"/>
    <w:rsid w:val="00CB52D4"/>
    <w:rsid w:val="00CF0D28"/>
    <w:rsid w:val="00CF3D93"/>
    <w:rsid w:val="00CF7CC7"/>
    <w:rsid w:val="00D035A7"/>
    <w:rsid w:val="00D214F1"/>
    <w:rsid w:val="00D21802"/>
    <w:rsid w:val="00D253B4"/>
    <w:rsid w:val="00D32243"/>
    <w:rsid w:val="00D40623"/>
    <w:rsid w:val="00D47818"/>
    <w:rsid w:val="00D56F81"/>
    <w:rsid w:val="00D967A7"/>
    <w:rsid w:val="00DA21E9"/>
    <w:rsid w:val="00DA3B71"/>
    <w:rsid w:val="00DA3C5E"/>
    <w:rsid w:val="00DB3CE9"/>
    <w:rsid w:val="00DC4CB9"/>
    <w:rsid w:val="00DE080B"/>
    <w:rsid w:val="00DE0AA3"/>
    <w:rsid w:val="00DE55ED"/>
    <w:rsid w:val="00DF1414"/>
    <w:rsid w:val="00E07CE9"/>
    <w:rsid w:val="00E23ED0"/>
    <w:rsid w:val="00E24FA4"/>
    <w:rsid w:val="00E310E9"/>
    <w:rsid w:val="00E55591"/>
    <w:rsid w:val="00E66D58"/>
    <w:rsid w:val="00E876BE"/>
    <w:rsid w:val="00EA0646"/>
    <w:rsid w:val="00EA0E45"/>
    <w:rsid w:val="00EA10BE"/>
    <w:rsid w:val="00EC0F14"/>
    <w:rsid w:val="00EC3AFC"/>
    <w:rsid w:val="00ED1C3F"/>
    <w:rsid w:val="00ED348A"/>
    <w:rsid w:val="00ED3622"/>
    <w:rsid w:val="00EE5DDE"/>
    <w:rsid w:val="00EF739D"/>
    <w:rsid w:val="00F10676"/>
    <w:rsid w:val="00F140A2"/>
    <w:rsid w:val="00F23928"/>
    <w:rsid w:val="00F33218"/>
    <w:rsid w:val="00F55DDE"/>
    <w:rsid w:val="00F56AFF"/>
    <w:rsid w:val="00F66FD9"/>
    <w:rsid w:val="00F97424"/>
    <w:rsid w:val="00FA5A9E"/>
    <w:rsid w:val="00FC36E3"/>
    <w:rsid w:val="00FC3D4B"/>
    <w:rsid w:val="00FD2B02"/>
    <w:rsid w:val="00FE3957"/>
    <w:rsid w:val="00FE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76D0C"/>
  <w14:defaultImageDpi w14:val="300"/>
  <w15:docId w15:val="{6B68DE23-5B85-4BB0-B348-71062398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8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C90"/>
    <w:pPr>
      <w:tabs>
        <w:tab w:val="center" w:pos="4703"/>
        <w:tab w:val="right" w:pos="9406"/>
      </w:tabs>
    </w:pPr>
  </w:style>
  <w:style w:type="character" w:customStyle="1" w:styleId="FooterChar">
    <w:name w:val="Footer Char"/>
    <w:basedOn w:val="DefaultParagraphFont"/>
    <w:link w:val="Footer"/>
    <w:uiPriority w:val="99"/>
    <w:rsid w:val="00A01C90"/>
  </w:style>
  <w:style w:type="character" w:styleId="PageNumber">
    <w:name w:val="page number"/>
    <w:basedOn w:val="DefaultParagraphFont"/>
    <w:uiPriority w:val="99"/>
    <w:semiHidden/>
    <w:unhideWhenUsed/>
    <w:rsid w:val="00A01C90"/>
  </w:style>
  <w:style w:type="paragraph" w:styleId="ListParagraph">
    <w:name w:val="List Paragraph"/>
    <w:basedOn w:val="Normal"/>
    <w:uiPriority w:val="34"/>
    <w:qFormat/>
    <w:rsid w:val="004664DB"/>
    <w:pPr>
      <w:ind w:left="720"/>
      <w:contextualSpacing/>
    </w:pPr>
  </w:style>
  <w:style w:type="character" w:customStyle="1" w:styleId="Heading1Char">
    <w:name w:val="Heading 1 Char"/>
    <w:basedOn w:val="DefaultParagraphFont"/>
    <w:link w:val="Heading1"/>
    <w:uiPriority w:val="9"/>
    <w:rsid w:val="006F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888"/>
    <w:rPr>
      <w:rFonts w:asciiTheme="majorHAnsi" w:eastAsiaTheme="majorEastAsia" w:hAnsiTheme="majorHAnsi" w:cstheme="majorBidi"/>
      <w:b/>
      <w:bCs/>
      <w:color w:val="4F81BD" w:themeColor="accent1"/>
      <w:sz w:val="26"/>
      <w:szCs w:val="26"/>
    </w:rPr>
  </w:style>
  <w:style w:type="paragraph" w:customStyle="1" w:styleId="Default">
    <w:name w:val="Default"/>
    <w:rsid w:val="003C16FD"/>
    <w:pPr>
      <w:autoSpaceDE w:val="0"/>
      <w:autoSpaceDN w:val="0"/>
      <w:adjustRightInd w:val="0"/>
    </w:pPr>
    <w:rPr>
      <w:rFonts w:ascii="Times New Roman" w:hAnsi="Times New Roman" w:cs="Times New Roman"/>
      <w:color w:val="000000"/>
      <w:lang w:val="en-ZA"/>
    </w:rPr>
  </w:style>
  <w:style w:type="paragraph" w:styleId="BalloonText">
    <w:name w:val="Balloon Text"/>
    <w:basedOn w:val="Normal"/>
    <w:link w:val="BalloonTextChar"/>
    <w:uiPriority w:val="99"/>
    <w:semiHidden/>
    <w:unhideWhenUsed/>
    <w:rsid w:val="003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DF"/>
    <w:rPr>
      <w:rFonts w:ascii="Segoe UI" w:hAnsi="Segoe UI" w:cs="Segoe UI"/>
      <w:sz w:val="18"/>
      <w:szCs w:val="18"/>
    </w:rPr>
  </w:style>
  <w:style w:type="paragraph" w:styleId="DocumentMap">
    <w:name w:val="Document Map"/>
    <w:basedOn w:val="Normal"/>
    <w:link w:val="DocumentMapChar"/>
    <w:uiPriority w:val="99"/>
    <w:semiHidden/>
    <w:unhideWhenUsed/>
    <w:rsid w:val="005B2779"/>
    <w:rPr>
      <w:rFonts w:ascii="Times New Roman" w:hAnsi="Times New Roman" w:cs="Times New Roman"/>
    </w:rPr>
  </w:style>
  <w:style w:type="character" w:customStyle="1" w:styleId="DocumentMapChar">
    <w:name w:val="Document Map Char"/>
    <w:basedOn w:val="DefaultParagraphFont"/>
    <w:link w:val="DocumentMap"/>
    <w:uiPriority w:val="99"/>
    <w:semiHidden/>
    <w:rsid w:val="005B2779"/>
    <w:rPr>
      <w:rFonts w:ascii="Times New Roman" w:hAnsi="Times New Roman" w:cs="Times New Roman"/>
    </w:rPr>
  </w:style>
  <w:style w:type="character" w:styleId="CommentReference">
    <w:name w:val="annotation reference"/>
    <w:basedOn w:val="DefaultParagraphFont"/>
    <w:uiPriority w:val="99"/>
    <w:semiHidden/>
    <w:unhideWhenUsed/>
    <w:rsid w:val="000A600C"/>
    <w:rPr>
      <w:sz w:val="18"/>
      <w:szCs w:val="18"/>
    </w:rPr>
  </w:style>
  <w:style w:type="paragraph" w:styleId="CommentText">
    <w:name w:val="annotation text"/>
    <w:basedOn w:val="Normal"/>
    <w:link w:val="CommentTextChar"/>
    <w:uiPriority w:val="99"/>
    <w:semiHidden/>
    <w:unhideWhenUsed/>
    <w:rsid w:val="000A600C"/>
  </w:style>
  <w:style w:type="character" w:customStyle="1" w:styleId="CommentTextChar">
    <w:name w:val="Comment Text Char"/>
    <w:basedOn w:val="DefaultParagraphFont"/>
    <w:link w:val="CommentText"/>
    <w:uiPriority w:val="99"/>
    <w:semiHidden/>
    <w:rsid w:val="000A600C"/>
  </w:style>
  <w:style w:type="paragraph" w:styleId="CommentSubject">
    <w:name w:val="annotation subject"/>
    <w:basedOn w:val="CommentText"/>
    <w:next w:val="CommentText"/>
    <w:link w:val="CommentSubjectChar"/>
    <w:uiPriority w:val="99"/>
    <w:semiHidden/>
    <w:unhideWhenUsed/>
    <w:rsid w:val="000A600C"/>
    <w:rPr>
      <w:b/>
      <w:bCs/>
      <w:sz w:val="20"/>
      <w:szCs w:val="20"/>
    </w:rPr>
  </w:style>
  <w:style w:type="character" w:customStyle="1" w:styleId="CommentSubjectChar">
    <w:name w:val="Comment Subject Char"/>
    <w:basedOn w:val="CommentTextChar"/>
    <w:link w:val="CommentSubject"/>
    <w:uiPriority w:val="99"/>
    <w:semiHidden/>
    <w:rsid w:val="000A600C"/>
    <w:rPr>
      <w:b/>
      <w:bCs/>
      <w:sz w:val="20"/>
      <w:szCs w:val="20"/>
    </w:rPr>
  </w:style>
  <w:style w:type="paragraph" w:styleId="FootnoteText">
    <w:name w:val="footnote text"/>
    <w:basedOn w:val="Normal"/>
    <w:link w:val="FootnoteTextChar"/>
    <w:uiPriority w:val="99"/>
    <w:unhideWhenUsed/>
    <w:rsid w:val="00464FBF"/>
  </w:style>
  <w:style w:type="character" w:customStyle="1" w:styleId="FootnoteTextChar">
    <w:name w:val="Footnote Text Char"/>
    <w:basedOn w:val="DefaultParagraphFont"/>
    <w:link w:val="FootnoteText"/>
    <w:uiPriority w:val="99"/>
    <w:rsid w:val="00464FBF"/>
  </w:style>
  <w:style w:type="character" w:styleId="FootnoteReference">
    <w:name w:val="footnote reference"/>
    <w:basedOn w:val="DefaultParagraphFont"/>
    <w:uiPriority w:val="99"/>
    <w:unhideWhenUsed/>
    <w:rsid w:val="00464FBF"/>
    <w:rPr>
      <w:vertAlign w:val="superscript"/>
    </w:rPr>
  </w:style>
  <w:style w:type="paragraph" w:styleId="Revision">
    <w:name w:val="Revision"/>
    <w:hidden/>
    <w:uiPriority w:val="99"/>
    <w:semiHidden/>
    <w:rsid w:val="0012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7144">
      <w:bodyDiv w:val="1"/>
      <w:marLeft w:val="0"/>
      <w:marRight w:val="0"/>
      <w:marTop w:val="0"/>
      <w:marBottom w:val="0"/>
      <w:divBdr>
        <w:top w:val="none" w:sz="0" w:space="0" w:color="auto"/>
        <w:left w:val="none" w:sz="0" w:space="0" w:color="auto"/>
        <w:bottom w:val="none" w:sz="0" w:space="0" w:color="auto"/>
        <w:right w:val="none" w:sz="0" w:space="0" w:color="auto"/>
      </w:divBdr>
    </w:div>
    <w:div w:id="1533107311">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sChild>
            <w:div w:id="844439567">
              <w:marLeft w:val="0"/>
              <w:marRight w:val="0"/>
              <w:marTop w:val="0"/>
              <w:marBottom w:val="0"/>
              <w:divBdr>
                <w:top w:val="none" w:sz="0" w:space="0" w:color="auto"/>
                <w:left w:val="none" w:sz="0" w:space="0" w:color="auto"/>
                <w:bottom w:val="none" w:sz="0" w:space="0" w:color="auto"/>
                <w:right w:val="none" w:sz="0" w:space="0" w:color="auto"/>
              </w:divBdr>
              <w:divsChild>
                <w:div w:id="780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2021</Year>
    <UNF3CSPThematicAreas xmlns="6920f5ab-9618-4f6e-a652-41e6f8b811ff"/>
    <UNF3CSPEntity xmlns="cd1c2313-39f8-4f5d-8e14-5f0ea1c36a8a">South Africa</UNF3CSPEntity>
    <UNF3CSPInvitationToSubmit xmlns="cd1c2313-39f8-4f5d-8e14-5f0ea1c36a8a">1342</UNF3CSPInvitationToSubmit>
    <UNF3CSPSubmissionDate xmlns="6920f5ab-9618-4f6e-a652-41e6f8b811ff">2022-03-01T17:46:00+00:00</UNF3CSPSubmissionDate>
    <UNF3CSPEntityType xmlns="6920f5ab-9618-4f6e-a652-41e6f8b811ff">Party</UNF3CSPEntityType>
    <Issue xmlns="6920f5ab-9618-4f6e-a652-41e6f8b811ff">* Views and information on the focus areas of  the  work  programme activities and existing relevant non-market approaches to be facilitated under the framework
* Examples of potential focus areas of non-market approaches to be facilitated under the framework (e.g. adaptation benefit mechanism) 
* Views on the UNFCCC web-based platform referred to in paragraph 10 (b) (i) of the annex, including how to operationalize it (e.g.  functions, form, target users, information to be contained thereon, timeline for development and implementation, and lessons learned from existing relevant tools, including under the Convention, the Kyoto Protocol and the Paris Agreement) 
* Views on the schedule for implementing the work programme activities</Issue>
    <UNF3CSPDescription xmlns="cd1c2313-39f8-4f5d-8e14-5f0ea1c36a8a">South Africa</UNF3CSPDescription>
    <Date_x0020_Of_x0020_Call xmlns="6920f5ab-9618-4f6e-a652-41e6f8b811ff">2022-02-27T23:00:00+00:00</Date_x0020_Of_x0020_Call>
    <UNF3CSPLanguage xmlns="cd1c2313-39f8-4f5d-8e14-5f0ea1c36a8a">English</UNF3CSPLanguage>
    <Mandate xmlns="6920f5ab-9618-4f6e-a652-41e6f8b811ff">FCCC/PA/CMA/2021/L.20 Para. 6(a), (b), (c) and (d)</Mandate>
    <Session xmlns="6920f5ab-9618-4f6e-a652-41e6f8b811ff">SBSTA 56</Session>
    <SourceItemID xmlns="6920f5ab-9618-4f6e-a652-41e6f8b811ff" xsi:nil="true"/>
    <Theme xmlns="6920f5ab-9618-4f6e-a652-41e6f8b811ff" xsi:nil="true"/>
    <UNF3CSPBody xmlns="6920f5ab-9618-4f6e-a652-41e6f8b811ff">SBSTA</UNF3CSPBo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B6C2C-2364-4AB0-8F7E-B0C290AA6C41}"/>
</file>

<file path=customXml/itemProps2.xml><?xml version="1.0" encoding="utf-8"?>
<ds:datastoreItem xmlns:ds="http://schemas.openxmlformats.org/officeDocument/2006/customXml" ds:itemID="{636DE3F8-6152-439E-BC50-1E8BDFBA4CD7}"/>
</file>

<file path=customXml/itemProps3.xml><?xml version="1.0" encoding="utf-8"?>
<ds:datastoreItem xmlns:ds="http://schemas.openxmlformats.org/officeDocument/2006/customXml" ds:itemID="{02E1919C-6126-48F0-B537-4D517B8F6C35}"/>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Negotiator</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Bernarditas Muller</dc:creator>
  <cp:lastModifiedBy>Maesela Kekana</cp:lastModifiedBy>
  <cp:revision>2</cp:revision>
  <cp:lastPrinted>2022-03-01T09:46:00Z</cp:lastPrinted>
  <dcterms:created xsi:type="dcterms:W3CDTF">2022-03-01T15:02:00Z</dcterms:created>
  <dcterms:modified xsi:type="dcterms:W3CDTF">2022-03-01T15:02:00Z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562500</vt:r8>
  </property>
  <property fmtid="{D5CDD505-2E9C-101B-9397-08002B2CF9AE}" pid="4" name="xd_ProgID">
    <vt:lpwstr/>
  </property>
  <property fmtid="{D5CDD505-2E9C-101B-9397-08002B2CF9AE}" pid="5" name="_CopySource">
    <vt:lpwstr>https://process.unfccc.int/sites/SubmissionsStaging/Documents/202203011746---Submission by South Africa  on Matters relating to A6.8 - Non Market Approaches.docx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